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DF" w:rsidRDefault="00BE07DF" w:rsidP="006449BA">
      <w:pPr>
        <w:jc w:val="center"/>
        <w:rPr>
          <w:b/>
          <w:sz w:val="28"/>
        </w:rPr>
      </w:pPr>
      <w:r>
        <w:rPr>
          <w:b/>
          <w:noProof/>
          <w:sz w:val="28"/>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BE07DF" w:rsidRPr="005B4F6A" w:rsidRDefault="00BE07DF" w:rsidP="006C7679">
      <w:pPr>
        <w:jc w:val="center"/>
        <w:rPr>
          <w:b/>
          <w:sz w:val="10"/>
        </w:rPr>
      </w:pPr>
    </w:p>
    <w:p w:rsidR="004418EA" w:rsidRPr="00BE07DF" w:rsidRDefault="00BE07DF" w:rsidP="006C7679">
      <w:pPr>
        <w:jc w:val="center"/>
        <w:rPr>
          <w:rFonts w:ascii="Georgia" w:hAnsi="Georgia"/>
          <w:b/>
          <w:sz w:val="28"/>
        </w:rPr>
      </w:pPr>
      <w:r w:rsidRPr="00BE07DF">
        <w:rPr>
          <w:rFonts w:ascii="Georgia" w:hAnsi="Georgia"/>
          <w:b/>
          <w:sz w:val="28"/>
        </w:rPr>
        <w:t>Strategic Business Plan</w:t>
      </w:r>
    </w:p>
    <w:p w:rsidR="006C7679" w:rsidRDefault="006C7679"/>
    <w:p w:rsidR="006C7679" w:rsidRPr="00E97835" w:rsidRDefault="00E97835" w:rsidP="007824B8">
      <w:pPr>
        <w:shd w:val="clear" w:color="auto" w:fill="44546A"/>
        <w:rPr>
          <w:b/>
          <w:color w:val="FFFFFF" w:themeColor="background1"/>
          <w:sz w:val="24"/>
        </w:rPr>
      </w:pPr>
      <w:r>
        <w:rPr>
          <w:b/>
          <w:color w:val="FFFFFF" w:themeColor="background1"/>
          <w:sz w:val="24"/>
        </w:rPr>
        <w:t>CCA Core Purpose</w:t>
      </w:r>
    </w:p>
    <w:p w:rsidR="006C7679" w:rsidRDefault="006C7679" w:rsidP="006C7679">
      <w:pPr>
        <w:rPr>
          <w:i/>
        </w:rPr>
      </w:pPr>
      <w:r w:rsidRPr="00BE07DF">
        <w:rPr>
          <w:i/>
        </w:rPr>
        <w:t>We are an organization that aspires to help all employees of California County Courts by providing opportunities to learn, grow, collaborate, share, and excel. We value each individual and provide opportunities for them to develop, therefore the Core Purpose for the California Court Association is:</w:t>
      </w:r>
    </w:p>
    <w:p w:rsidR="00973190" w:rsidRPr="00973190" w:rsidRDefault="00973190" w:rsidP="006C7679">
      <w:pPr>
        <w:rPr>
          <w:i/>
          <w:sz w:val="10"/>
        </w:rPr>
      </w:pPr>
    </w:p>
    <w:p w:rsidR="006C7679" w:rsidRPr="00BE07DF" w:rsidRDefault="006C7679" w:rsidP="00BE07DF">
      <w:pPr>
        <w:jc w:val="center"/>
        <w:rPr>
          <w:b/>
          <w:color w:val="000000" w:themeColor="text1"/>
        </w:rPr>
      </w:pPr>
      <w:r w:rsidRPr="00BE07DF">
        <w:rPr>
          <w:b/>
          <w:color w:val="000000" w:themeColor="text1"/>
        </w:rPr>
        <w:t>To support personal and professional growth</w:t>
      </w:r>
    </w:p>
    <w:p w:rsidR="006C7679" w:rsidRDefault="006C7679" w:rsidP="006C7679"/>
    <w:p w:rsidR="006C7679" w:rsidRDefault="006C7679" w:rsidP="006C7679"/>
    <w:p w:rsidR="006C7679" w:rsidRPr="00E97835" w:rsidRDefault="006C7679" w:rsidP="00BE07DF">
      <w:pPr>
        <w:shd w:val="clear" w:color="auto" w:fill="44546A" w:themeFill="text2"/>
        <w:rPr>
          <w:b/>
          <w:color w:val="FFFFFF" w:themeColor="background1"/>
          <w:sz w:val="24"/>
        </w:rPr>
      </w:pPr>
      <w:r w:rsidRPr="00E97835">
        <w:rPr>
          <w:b/>
          <w:color w:val="FFFFFF" w:themeColor="background1"/>
          <w:sz w:val="24"/>
        </w:rPr>
        <w:t>Ultimate Goal</w:t>
      </w:r>
    </w:p>
    <w:p w:rsidR="00973190" w:rsidRPr="00973190" w:rsidRDefault="00973190" w:rsidP="00973190">
      <w:pPr>
        <w:rPr>
          <w:i/>
          <w:color w:val="000000" w:themeColor="text1"/>
        </w:rPr>
      </w:pPr>
      <w:r w:rsidRPr="00973190">
        <w:rPr>
          <w:i/>
          <w:color w:val="000000" w:themeColor="text1"/>
        </w:rPr>
        <w:t>As an organization we have direction, our ultimate goal that we strive for:</w:t>
      </w:r>
    </w:p>
    <w:p w:rsidR="00973190" w:rsidRPr="00973190" w:rsidRDefault="00973190" w:rsidP="00973190">
      <w:pPr>
        <w:rPr>
          <w:sz w:val="10"/>
        </w:rPr>
      </w:pPr>
    </w:p>
    <w:p w:rsidR="006C7679" w:rsidRPr="00BE07DF" w:rsidRDefault="006C7679" w:rsidP="00BE07DF">
      <w:pPr>
        <w:jc w:val="center"/>
        <w:rPr>
          <w:b/>
          <w:color w:val="000000" w:themeColor="text1"/>
        </w:rPr>
      </w:pPr>
      <w:r w:rsidRPr="00BE07DF">
        <w:rPr>
          <w:b/>
          <w:color w:val="000000" w:themeColor="text1"/>
        </w:rPr>
        <w:t>To have 100% membership in every court in California</w:t>
      </w:r>
    </w:p>
    <w:p w:rsidR="006C7679" w:rsidRDefault="006C7679" w:rsidP="006C7679"/>
    <w:p w:rsidR="006C7679" w:rsidRDefault="006C7679" w:rsidP="006C7679"/>
    <w:p w:rsidR="006C7679" w:rsidRPr="00E97835" w:rsidRDefault="00E97835" w:rsidP="00BE07DF">
      <w:pPr>
        <w:shd w:val="clear" w:color="auto" w:fill="44546A" w:themeFill="text2"/>
        <w:rPr>
          <w:b/>
          <w:color w:val="FFFFFF" w:themeColor="background1"/>
          <w:sz w:val="24"/>
        </w:rPr>
      </w:pPr>
      <w:r>
        <w:rPr>
          <w:b/>
          <w:color w:val="FFFFFF" w:themeColor="background1"/>
          <w:sz w:val="24"/>
        </w:rPr>
        <w:t>CCA Mission</w:t>
      </w:r>
    </w:p>
    <w:p w:rsidR="00973190" w:rsidRPr="00973190" w:rsidRDefault="00973190" w:rsidP="00973190">
      <w:pPr>
        <w:rPr>
          <w:i/>
        </w:rPr>
      </w:pPr>
      <w:r w:rsidRPr="00973190">
        <w:rPr>
          <w:i/>
        </w:rPr>
        <w:t>Realizing our vision (core values and purpose) we have defined the CCA organizational mission as:</w:t>
      </w:r>
    </w:p>
    <w:p w:rsidR="00973190" w:rsidRPr="00973190" w:rsidRDefault="00973190" w:rsidP="00973190">
      <w:pPr>
        <w:rPr>
          <w:sz w:val="10"/>
        </w:rPr>
      </w:pPr>
    </w:p>
    <w:p w:rsidR="00BE07DF" w:rsidRDefault="006C7679" w:rsidP="00A72385">
      <w:pPr>
        <w:ind w:left="2160"/>
        <w:rPr>
          <w:b/>
          <w:color w:val="000000" w:themeColor="text1"/>
        </w:rPr>
      </w:pPr>
      <w:r w:rsidRPr="00BE07DF">
        <w:rPr>
          <w:b/>
          <w:color w:val="000000" w:themeColor="text1"/>
        </w:rPr>
        <w:t xml:space="preserve">To provide education and act as a forum for best practices </w:t>
      </w:r>
    </w:p>
    <w:p w:rsidR="006C7679" w:rsidRPr="00BE07DF" w:rsidRDefault="006C7679" w:rsidP="00A72385">
      <w:pPr>
        <w:ind w:left="2160"/>
        <w:rPr>
          <w:b/>
          <w:color w:val="000000" w:themeColor="text1"/>
        </w:rPr>
      </w:pPr>
      <w:proofErr w:type="gramStart"/>
      <w:r w:rsidRPr="00BE07DF">
        <w:rPr>
          <w:b/>
          <w:color w:val="000000" w:themeColor="text1"/>
        </w:rPr>
        <w:t>in</w:t>
      </w:r>
      <w:proofErr w:type="gramEnd"/>
      <w:r w:rsidRPr="00BE07DF">
        <w:rPr>
          <w:b/>
          <w:color w:val="000000" w:themeColor="text1"/>
        </w:rPr>
        <w:t xml:space="preserve"> the development of court professionals</w:t>
      </w:r>
    </w:p>
    <w:p w:rsidR="006C7679" w:rsidRDefault="006C7679" w:rsidP="006C7679"/>
    <w:p w:rsidR="006C7679" w:rsidRDefault="006C7679" w:rsidP="006C7679"/>
    <w:p w:rsidR="006C7679" w:rsidRPr="00E97835" w:rsidRDefault="006C7679" w:rsidP="00BE07DF">
      <w:pPr>
        <w:shd w:val="clear" w:color="auto" w:fill="44546A" w:themeFill="text2"/>
        <w:rPr>
          <w:b/>
          <w:color w:val="FFFFFF" w:themeColor="background1"/>
          <w:sz w:val="24"/>
        </w:rPr>
      </w:pPr>
      <w:r w:rsidRPr="00E97835">
        <w:rPr>
          <w:b/>
          <w:color w:val="FFFFFF" w:themeColor="background1"/>
          <w:sz w:val="24"/>
        </w:rPr>
        <w:t>CCA Brand Promise</w:t>
      </w:r>
    </w:p>
    <w:p w:rsidR="006C7679" w:rsidRPr="00BE07DF" w:rsidRDefault="006C7679" w:rsidP="006C7679">
      <w:pPr>
        <w:rPr>
          <w:i/>
        </w:rPr>
      </w:pPr>
      <w:r w:rsidRPr="00BE07DF">
        <w:rPr>
          <w:i/>
        </w:rPr>
        <w:t>As an organization, we are here to provide the tools to accomplish the CCA Mission and achieve CCA's Core Purpose. In order to do that, CCA makes the following Brand Promise to our members:</w:t>
      </w:r>
    </w:p>
    <w:p w:rsidR="00BE07DF" w:rsidRPr="00973190" w:rsidRDefault="00BE07DF" w:rsidP="00BE07DF">
      <w:pPr>
        <w:jc w:val="both"/>
        <w:rPr>
          <w:color w:val="000000" w:themeColor="text1"/>
          <w:sz w:val="10"/>
        </w:rPr>
      </w:pPr>
    </w:p>
    <w:p w:rsidR="00BE07DF" w:rsidRDefault="006C7679" w:rsidP="00A72385">
      <w:pPr>
        <w:ind w:left="2160"/>
        <w:rPr>
          <w:b/>
          <w:color w:val="000000" w:themeColor="text1"/>
        </w:rPr>
      </w:pPr>
      <w:r w:rsidRPr="00BE07DF">
        <w:rPr>
          <w:b/>
          <w:color w:val="000000" w:themeColor="text1"/>
        </w:rPr>
        <w:t>Through current training and education</w:t>
      </w:r>
      <w:r w:rsidR="00BE07DF">
        <w:rPr>
          <w:b/>
          <w:color w:val="000000" w:themeColor="text1"/>
        </w:rPr>
        <w:t>,</w:t>
      </w:r>
      <w:r w:rsidRPr="00BE07DF">
        <w:rPr>
          <w:b/>
          <w:color w:val="000000" w:themeColor="text1"/>
        </w:rPr>
        <w:t xml:space="preserve"> CCA will be the leader</w:t>
      </w:r>
    </w:p>
    <w:p w:rsidR="00BE07DF" w:rsidRDefault="006C7679" w:rsidP="00A72385">
      <w:pPr>
        <w:ind w:left="2160"/>
        <w:rPr>
          <w:b/>
          <w:color w:val="000000" w:themeColor="text1"/>
        </w:rPr>
      </w:pPr>
      <w:proofErr w:type="gramStart"/>
      <w:r w:rsidRPr="00BE07DF">
        <w:rPr>
          <w:b/>
          <w:color w:val="000000" w:themeColor="text1"/>
        </w:rPr>
        <w:t>in</w:t>
      </w:r>
      <w:proofErr w:type="gramEnd"/>
      <w:r w:rsidRPr="00BE07DF">
        <w:rPr>
          <w:b/>
          <w:color w:val="000000" w:themeColor="text1"/>
        </w:rPr>
        <w:t xml:space="preserve"> assisting every court employee in their quest for greater</w:t>
      </w:r>
    </w:p>
    <w:p w:rsidR="006C7679" w:rsidRPr="00BE07DF" w:rsidRDefault="006C7679" w:rsidP="00A72385">
      <w:pPr>
        <w:ind w:left="2160"/>
        <w:rPr>
          <w:b/>
          <w:color w:val="000000" w:themeColor="text1"/>
        </w:rPr>
      </w:pPr>
      <w:proofErr w:type="gramStart"/>
      <w:r w:rsidRPr="00BE07DF">
        <w:rPr>
          <w:b/>
          <w:color w:val="000000" w:themeColor="text1"/>
        </w:rPr>
        <w:t>knowledge</w:t>
      </w:r>
      <w:proofErr w:type="gramEnd"/>
      <w:r w:rsidRPr="00BE07DF">
        <w:rPr>
          <w:b/>
          <w:color w:val="000000" w:themeColor="text1"/>
        </w:rPr>
        <w:t xml:space="preserve"> for the betterment of their court</w:t>
      </w:r>
    </w:p>
    <w:p w:rsidR="006C7679" w:rsidRDefault="006C7679"/>
    <w:p w:rsidR="006C7679" w:rsidRDefault="006C7679"/>
    <w:p w:rsidR="001C7BD3" w:rsidRPr="00A72385" w:rsidRDefault="001C7BD3" w:rsidP="001C7BD3">
      <w:pPr>
        <w:shd w:val="clear" w:color="auto" w:fill="44546A" w:themeFill="text2"/>
        <w:rPr>
          <w:b/>
          <w:color w:val="FFFFFF" w:themeColor="background1"/>
          <w:sz w:val="24"/>
        </w:rPr>
      </w:pPr>
      <w:r w:rsidRPr="00A72385">
        <w:rPr>
          <w:b/>
          <w:color w:val="FFFFFF" w:themeColor="background1"/>
          <w:sz w:val="24"/>
        </w:rPr>
        <w:t>Core Values</w:t>
      </w:r>
    </w:p>
    <w:p w:rsidR="001C7BD3" w:rsidRPr="00973190" w:rsidRDefault="001C7BD3" w:rsidP="001C7BD3"/>
    <w:tbl>
      <w:tblPr>
        <w:tblW w:w="0" w:type="auto"/>
        <w:tblInd w:w="1170" w:type="dxa"/>
        <w:tblLook w:val="01E0"/>
      </w:tblPr>
      <w:tblGrid>
        <w:gridCol w:w="3978"/>
        <w:gridCol w:w="3222"/>
      </w:tblGrid>
      <w:tr w:rsidR="001C7BD3" w:rsidRPr="00973190" w:rsidTr="00F230A6">
        <w:trPr>
          <w:trHeight w:val="317"/>
        </w:trPr>
        <w:tc>
          <w:tcPr>
            <w:tcW w:w="3978" w:type="dxa"/>
          </w:tcPr>
          <w:p w:rsidR="001C7BD3" w:rsidRPr="00973190" w:rsidRDefault="001C7BD3" w:rsidP="00AD42A2">
            <w:r>
              <w:sym w:font="Webdings" w:char="F098"/>
            </w:r>
            <w:r w:rsidRPr="00973190">
              <w:t xml:space="preserve">Honesty </w:t>
            </w:r>
          </w:p>
        </w:tc>
        <w:tc>
          <w:tcPr>
            <w:tcW w:w="3222" w:type="dxa"/>
          </w:tcPr>
          <w:p w:rsidR="001C7BD3" w:rsidRPr="00973190" w:rsidRDefault="001C7BD3" w:rsidP="00AD42A2">
            <w:r>
              <w:sym w:font="Webdings" w:char="F098"/>
            </w:r>
            <w:r w:rsidRPr="00973190">
              <w:t>Community</w:t>
            </w:r>
          </w:p>
        </w:tc>
      </w:tr>
      <w:tr w:rsidR="001C7BD3" w:rsidRPr="00973190" w:rsidTr="00F230A6">
        <w:trPr>
          <w:trHeight w:val="317"/>
        </w:trPr>
        <w:tc>
          <w:tcPr>
            <w:tcW w:w="3978" w:type="dxa"/>
          </w:tcPr>
          <w:p w:rsidR="001C7BD3" w:rsidRPr="00973190" w:rsidRDefault="001C7BD3" w:rsidP="00AD42A2">
            <w:r>
              <w:sym w:font="Webdings" w:char="F098"/>
            </w:r>
            <w:r w:rsidRPr="00973190">
              <w:t>Integrity</w:t>
            </w:r>
          </w:p>
        </w:tc>
        <w:tc>
          <w:tcPr>
            <w:tcW w:w="3222" w:type="dxa"/>
          </w:tcPr>
          <w:p w:rsidR="001C7BD3" w:rsidRPr="00973190" w:rsidRDefault="001C7BD3" w:rsidP="00AD42A2">
            <w:r>
              <w:sym w:font="Webdings" w:char="F098"/>
            </w:r>
            <w:r w:rsidRPr="00973190">
              <w:t xml:space="preserve">Creativity </w:t>
            </w:r>
          </w:p>
        </w:tc>
      </w:tr>
      <w:tr w:rsidR="00981836" w:rsidRPr="00973190" w:rsidTr="00F230A6">
        <w:trPr>
          <w:trHeight w:val="317"/>
        </w:trPr>
        <w:tc>
          <w:tcPr>
            <w:tcW w:w="3978" w:type="dxa"/>
          </w:tcPr>
          <w:p w:rsidR="00981836" w:rsidRPr="00973190" w:rsidRDefault="00981836" w:rsidP="00981836">
            <w:bookmarkStart w:id="0" w:name="_GoBack" w:colFirst="1" w:colLast="1"/>
            <w:r>
              <w:sym w:font="Webdings" w:char="F098"/>
            </w:r>
            <w:r w:rsidRPr="00973190">
              <w:t xml:space="preserve">Discovery </w:t>
            </w:r>
          </w:p>
        </w:tc>
        <w:tc>
          <w:tcPr>
            <w:tcW w:w="3222" w:type="dxa"/>
          </w:tcPr>
          <w:p w:rsidR="00981836" w:rsidRPr="00973190" w:rsidRDefault="00981836" w:rsidP="00981836">
            <w:r>
              <w:sym w:font="Webdings" w:char="F098"/>
            </w:r>
            <w:r w:rsidRPr="00973190">
              <w:t>Leadership</w:t>
            </w:r>
          </w:p>
        </w:tc>
      </w:tr>
      <w:bookmarkEnd w:id="0"/>
      <w:tr w:rsidR="00981836" w:rsidRPr="00973190" w:rsidTr="00F230A6">
        <w:trPr>
          <w:trHeight w:val="317"/>
        </w:trPr>
        <w:tc>
          <w:tcPr>
            <w:tcW w:w="3978" w:type="dxa"/>
          </w:tcPr>
          <w:p w:rsidR="00981836" w:rsidRPr="00973190" w:rsidRDefault="00981836" w:rsidP="00981836">
            <w:r>
              <w:sym w:font="Webdings" w:char="F098"/>
            </w:r>
            <w:r w:rsidRPr="00973190">
              <w:t>Excellence</w:t>
            </w:r>
          </w:p>
        </w:tc>
        <w:tc>
          <w:tcPr>
            <w:tcW w:w="3222" w:type="dxa"/>
          </w:tcPr>
          <w:p w:rsidR="00981836" w:rsidRPr="00973190" w:rsidRDefault="00981836" w:rsidP="00981836">
            <w:r>
              <w:sym w:font="Webdings" w:char="F098"/>
            </w:r>
            <w:r w:rsidRPr="00973190">
              <w:t xml:space="preserve">Service-Driven </w:t>
            </w:r>
          </w:p>
        </w:tc>
      </w:tr>
      <w:tr w:rsidR="00981836" w:rsidRPr="00973190" w:rsidTr="00F230A6">
        <w:trPr>
          <w:trHeight w:val="317"/>
        </w:trPr>
        <w:tc>
          <w:tcPr>
            <w:tcW w:w="3978" w:type="dxa"/>
          </w:tcPr>
          <w:p w:rsidR="00981836" w:rsidRPr="00973190" w:rsidRDefault="00981836" w:rsidP="00981836">
            <w:r>
              <w:sym w:font="Webdings" w:char="F098"/>
            </w:r>
            <w:r w:rsidRPr="00973190">
              <w:t xml:space="preserve">Accountability </w:t>
            </w:r>
          </w:p>
        </w:tc>
        <w:tc>
          <w:tcPr>
            <w:tcW w:w="3222" w:type="dxa"/>
          </w:tcPr>
          <w:p w:rsidR="00981836" w:rsidRPr="00973190" w:rsidRDefault="00981836" w:rsidP="00981836">
            <w:r>
              <w:sym w:font="Webdings" w:char="F098"/>
            </w:r>
            <w:r w:rsidRPr="00973190">
              <w:t>C</w:t>
            </w:r>
            <w:r>
              <w:t>a</w:t>
            </w:r>
            <w:r w:rsidRPr="00973190">
              <w:t>ma</w:t>
            </w:r>
            <w:r>
              <w:t>ra</w:t>
            </w:r>
            <w:r w:rsidRPr="00973190">
              <w:t>derie</w:t>
            </w:r>
          </w:p>
        </w:tc>
      </w:tr>
      <w:tr w:rsidR="00981836" w:rsidRPr="00973190" w:rsidTr="00F230A6">
        <w:trPr>
          <w:trHeight w:val="317"/>
        </w:trPr>
        <w:tc>
          <w:tcPr>
            <w:tcW w:w="3978" w:type="dxa"/>
          </w:tcPr>
          <w:p w:rsidR="00981836" w:rsidRPr="00973190" w:rsidRDefault="00981836" w:rsidP="00981836">
            <w:r>
              <w:sym w:font="Webdings" w:char="F098"/>
            </w:r>
            <w:r w:rsidRPr="00973190">
              <w:t xml:space="preserve">Professionalism </w:t>
            </w:r>
          </w:p>
        </w:tc>
        <w:tc>
          <w:tcPr>
            <w:tcW w:w="3222" w:type="dxa"/>
          </w:tcPr>
          <w:p w:rsidR="00981836" w:rsidRPr="00973190" w:rsidRDefault="00981836" w:rsidP="00981836">
            <w:r>
              <w:sym w:font="Webdings" w:char="F098"/>
            </w:r>
            <w:r w:rsidRPr="00973190">
              <w:t>Value Individual Efforts</w:t>
            </w:r>
          </w:p>
        </w:tc>
      </w:tr>
      <w:tr w:rsidR="00981836" w:rsidRPr="00973190" w:rsidTr="00F230A6">
        <w:trPr>
          <w:trHeight w:val="317"/>
        </w:trPr>
        <w:tc>
          <w:tcPr>
            <w:tcW w:w="3978" w:type="dxa"/>
          </w:tcPr>
          <w:p w:rsidR="00981836" w:rsidRPr="00973190" w:rsidRDefault="00981836" w:rsidP="00981836">
            <w:r>
              <w:sym w:font="Webdings" w:char="F098"/>
            </w:r>
            <w:r w:rsidRPr="00973190">
              <w:t>Personal and Professional Growth</w:t>
            </w:r>
          </w:p>
        </w:tc>
        <w:tc>
          <w:tcPr>
            <w:tcW w:w="3222" w:type="dxa"/>
          </w:tcPr>
          <w:p w:rsidR="00981836" w:rsidRPr="00973190" w:rsidRDefault="00981836" w:rsidP="00981836">
            <w:r>
              <w:sym w:font="Webdings" w:char="F098"/>
            </w:r>
            <w:r w:rsidRPr="00973190">
              <w:t>Dependability</w:t>
            </w:r>
          </w:p>
        </w:tc>
      </w:tr>
      <w:tr w:rsidR="00981836" w:rsidRPr="00973190" w:rsidTr="00F230A6">
        <w:trPr>
          <w:trHeight w:val="317"/>
        </w:trPr>
        <w:tc>
          <w:tcPr>
            <w:tcW w:w="3978" w:type="dxa"/>
          </w:tcPr>
          <w:p w:rsidR="00981836" w:rsidRPr="00973190" w:rsidRDefault="00981836" w:rsidP="00981836">
            <w:r>
              <w:sym w:font="Webdings" w:char="F098"/>
            </w:r>
            <w:r w:rsidRPr="00973190">
              <w:t>Personal Achievement</w:t>
            </w:r>
          </w:p>
        </w:tc>
        <w:tc>
          <w:tcPr>
            <w:tcW w:w="3222" w:type="dxa"/>
          </w:tcPr>
          <w:p w:rsidR="00981836" w:rsidRPr="00973190" w:rsidRDefault="00981836" w:rsidP="00981836"/>
        </w:tc>
      </w:tr>
    </w:tbl>
    <w:p w:rsidR="001C7BD3" w:rsidRPr="00973190" w:rsidRDefault="001C7BD3" w:rsidP="001C7BD3"/>
    <w:p w:rsidR="001C7BD3" w:rsidRDefault="001C7BD3"/>
    <w:p w:rsidR="00A72385" w:rsidRDefault="00A72385" w:rsidP="00A72385">
      <w:pPr>
        <w:jc w:val="center"/>
        <w:rPr>
          <w:rFonts w:ascii="Georgia" w:hAnsi="Georgia"/>
          <w:b/>
          <w:sz w:val="28"/>
        </w:rPr>
      </w:pPr>
      <w:r>
        <w:rPr>
          <w:b/>
          <w:noProof/>
          <w:sz w:val="28"/>
        </w:rPr>
        <w:lastRenderedPageBreak/>
        <w:drawing>
          <wp:inline distT="0" distB="0" distL="0" distR="0">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A72385" w:rsidRPr="00BE07DF" w:rsidRDefault="008C6854" w:rsidP="00A72385">
      <w:pPr>
        <w:jc w:val="center"/>
        <w:rPr>
          <w:rFonts w:ascii="Georgia" w:hAnsi="Georgia"/>
          <w:b/>
          <w:sz w:val="28"/>
        </w:rPr>
      </w:pPr>
      <w:r>
        <w:rPr>
          <w:rFonts w:ascii="Georgia" w:hAnsi="Georgia"/>
          <w:b/>
          <w:sz w:val="28"/>
        </w:rPr>
        <w:t>Strategic Objectives &amp; Goals</w:t>
      </w:r>
    </w:p>
    <w:p w:rsidR="00A72385" w:rsidRDefault="00A72385"/>
    <w:p w:rsidR="006C7679" w:rsidRPr="00E97835" w:rsidRDefault="00E449FE" w:rsidP="00BE07DF">
      <w:pPr>
        <w:shd w:val="clear" w:color="auto" w:fill="44546A" w:themeFill="text2"/>
        <w:rPr>
          <w:b/>
          <w:color w:val="FFFFFF" w:themeColor="background1"/>
          <w:sz w:val="24"/>
        </w:rPr>
      </w:pPr>
      <w:r>
        <w:rPr>
          <w:b/>
          <w:color w:val="FFFFFF" w:themeColor="background1"/>
          <w:sz w:val="24"/>
        </w:rPr>
        <w:t>Strategic Objectives</w:t>
      </w:r>
    </w:p>
    <w:p w:rsidR="006C7679" w:rsidRDefault="006C7679" w:rsidP="00BE07DF">
      <w:pPr>
        <w:pStyle w:val="ListParagraph"/>
        <w:numPr>
          <w:ilvl w:val="0"/>
          <w:numId w:val="1"/>
        </w:numPr>
        <w:spacing w:after="120"/>
        <w:contextualSpacing w:val="0"/>
      </w:pPr>
      <w:r>
        <w:t>Increase membership (greater percentage) from a</w:t>
      </w:r>
      <w:r w:rsidR="00BE07DF">
        <w:t>ll courts throughout California.</w:t>
      </w:r>
    </w:p>
    <w:p w:rsidR="006C7679" w:rsidRDefault="006C7679" w:rsidP="00BE07DF">
      <w:pPr>
        <w:pStyle w:val="ListParagraph"/>
        <w:numPr>
          <w:ilvl w:val="0"/>
          <w:numId w:val="1"/>
        </w:numPr>
        <w:spacing w:after="120"/>
        <w:contextualSpacing w:val="0"/>
      </w:pPr>
      <w:r>
        <w:t>Improve education activities as well as establishing the CCA conference as THE event for CA court employees</w:t>
      </w:r>
      <w:r w:rsidR="00BE07DF">
        <w:t>.</w:t>
      </w:r>
    </w:p>
    <w:p w:rsidR="006C7679" w:rsidRDefault="006C7679" w:rsidP="00BE07DF">
      <w:pPr>
        <w:pStyle w:val="ListParagraph"/>
        <w:numPr>
          <w:ilvl w:val="0"/>
          <w:numId w:val="1"/>
        </w:numPr>
        <w:spacing w:after="120"/>
        <w:contextualSpacing w:val="0"/>
      </w:pPr>
      <w:r>
        <w:t>Increase resources to continue to provide a dynamic organization to meet the needs of courts</w:t>
      </w:r>
      <w:r w:rsidR="00BE07DF">
        <w:t>.</w:t>
      </w:r>
    </w:p>
    <w:p w:rsidR="006C7679" w:rsidRDefault="006C7679" w:rsidP="00BE07DF">
      <w:pPr>
        <w:pStyle w:val="ListParagraph"/>
        <w:numPr>
          <w:ilvl w:val="0"/>
          <w:numId w:val="1"/>
        </w:numPr>
        <w:spacing w:after="120"/>
        <w:contextualSpacing w:val="0"/>
      </w:pPr>
      <w:r>
        <w:t>Collaboration and cooperation from greater number of courts and court CEO's in growing participation in CCA activities and achieving our goals</w:t>
      </w:r>
      <w:r w:rsidR="00BE07DF">
        <w:t>.</w:t>
      </w:r>
    </w:p>
    <w:p w:rsidR="006C7679" w:rsidRDefault="006C7679" w:rsidP="00BE07DF">
      <w:pPr>
        <w:pStyle w:val="ListParagraph"/>
        <w:numPr>
          <w:ilvl w:val="0"/>
          <w:numId w:val="1"/>
        </w:numPr>
        <w:spacing w:after="120"/>
        <w:contextualSpacing w:val="0"/>
      </w:pPr>
      <w:r>
        <w:t xml:space="preserve">Establish CCA as the portal of information necessary for </w:t>
      </w:r>
      <w:r w:rsidR="00A72385">
        <w:t>CA</w:t>
      </w:r>
      <w:r>
        <w:t xml:space="preserve"> court employees to stay abreast of current laws, standards, best practices and ideas that may affect </w:t>
      </w:r>
      <w:r w:rsidR="00BE07DF">
        <w:t>court management and operations.</w:t>
      </w:r>
    </w:p>
    <w:p w:rsidR="007824B8" w:rsidRDefault="007824B8" w:rsidP="006C7679"/>
    <w:p w:rsidR="006C7679" w:rsidRPr="00A72385" w:rsidRDefault="006C7679" w:rsidP="00BE07DF">
      <w:pPr>
        <w:shd w:val="clear" w:color="auto" w:fill="44546A" w:themeFill="text2"/>
        <w:rPr>
          <w:b/>
          <w:color w:val="FFFFFF" w:themeColor="background1"/>
          <w:sz w:val="24"/>
        </w:rPr>
      </w:pPr>
      <w:r w:rsidRPr="00A72385">
        <w:rPr>
          <w:b/>
          <w:color w:val="FFFFFF" w:themeColor="background1"/>
          <w:sz w:val="24"/>
        </w:rPr>
        <w:t>Strategic Goals</w:t>
      </w:r>
      <w:r w:rsidR="00E97835" w:rsidRPr="00A72385">
        <w:rPr>
          <w:b/>
          <w:color w:val="FFFFFF" w:themeColor="background1"/>
          <w:sz w:val="24"/>
        </w:rPr>
        <w:t xml:space="preserve"> for</w:t>
      </w:r>
      <w:r w:rsidR="00E449FE" w:rsidRPr="00A72385">
        <w:rPr>
          <w:b/>
          <w:color w:val="FFFFFF" w:themeColor="background1"/>
          <w:sz w:val="24"/>
        </w:rPr>
        <w:t xml:space="preserve"> 2016-2019</w:t>
      </w:r>
    </w:p>
    <w:p w:rsidR="006C7679" w:rsidRDefault="006C7679" w:rsidP="006C7679">
      <w:r>
        <w:t>We will perform effectively by delivering on the organization brand promise through the implementation of goals in these four categories:</w:t>
      </w:r>
    </w:p>
    <w:p w:rsidR="00BE07DF" w:rsidRPr="0027020F" w:rsidRDefault="00BE07DF" w:rsidP="006C7679">
      <w:pPr>
        <w:rPr>
          <w:sz w:val="16"/>
        </w:rPr>
      </w:pPr>
    </w:p>
    <w:p w:rsidR="006C7679" w:rsidRPr="00BE07DF" w:rsidRDefault="00E97835" w:rsidP="006C7679">
      <w:pPr>
        <w:rPr>
          <w:b/>
        </w:rPr>
      </w:pPr>
      <w:r>
        <w:rPr>
          <w:b/>
        </w:rPr>
        <w:t>Organizational Governance</w:t>
      </w:r>
    </w:p>
    <w:p w:rsidR="006C7679" w:rsidRDefault="006C7679" w:rsidP="00E97835">
      <w:pPr>
        <w:pStyle w:val="ListParagraph"/>
        <w:numPr>
          <w:ilvl w:val="0"/>
          <w:numId w:val="2"/>
        </w:numPr>
      </w:pPr>
      <w:r>
        <w:t>Review and re-align Board and Executive Committee</w:t>
      </w:r>
    </w:p>
    <w:p w:rsidR="006C7679" w:rsidRDefault="006C7679" w:rsidP="00E97835">
      <w:pPr>
        <w:pStyle w:val="ListParagraph"/>
        <w:numPr>
          <w:ilvl w:val="0"/>
          <w:numId w:val="2"/>
        </w:numPr>
      </w:pPr>
      <w:r>
        <w:t>Rewrite bylaws</w:t>
      </w:r>
    </w:p>
    <w:p w:rsidR="006C7679" w:rsidRDefault="006C7679" w:rsidP="00E97835">
      <w:pPr>
        <w:pStyle w:val="ListParagraph"/>
        <w:numPr>
          <w:ilvl w:val="0"/>
          <w:numId w:val="2"/>
        </w:numPr>
      </w:pPr>
      <w:r>
        <w:t>Development of Policies and Procedures Manual</w:t>
      </w:r>
    </w:p>
    <w:p w:rsidR="00A72385" w:rsidRPr="0027020F" w:rsidRDefault="00A72385" w:rsidP="00A72385">
      <w:pPr>
        <w:pStyle w:val="ListParagraph"/>
        <w:ind w:left="360"/>
        <w:rPr>
          <w:sz w:val="16"/>
        </w:rPr>
      </w:pPr>
    </w:p>
    <w:p w:rsidR="006C7679" w:rsidRPr="00E97835" w:rsidRDefault="00E97835" w:rsidP="006C7679">
      <w:pPr>
        <w:rPr>
          <w:b/>
        </w:rPr>
      </w:pPr>
      <w:r>
        <w:rPr>
          <w:b/>
        </w:rPr>
        <w:t>Membership Services</w:t>
      </w:r>
    </w:p>
    <w:p w:rsidR="006C7679" w:rsidRDefault="006C7679" w:rsidP="00E97835">
      <w:pPr>
        <w:pStyle w:val="ListParagraph"/>
        <w:numPr>
          <w:ilvl w:val="0"/>
          <w:numId w:val="3"/>
        </w:numPr>
      </w:pPr>
      <w:r>
        <w:t>Increase membership by 10%</w:t>
      </w:r>
    </w:p>
    <w:p w:rsidR="006C7679" w:rsidRDefault="006C7679" w:rsidP="00E97835">
      <w:pPr>
        <w:pStyle w:val="ListParagraph"/>
        <w:numPr>
          <w:ilvl w:val="0"/>
          <w:numId w:val="3"/>
        </w:numPr>
      </w:pPr>
      <w:r>
        <w:t>Have an effective, active Membership Committee</w:t>
      </w:r>
    </w:p>
    <w:p w:rsidR="006C7679" w:rsidRDefault="006C7679" w:rsidP="00E97835">
      <w:pPr>
        <w:pStyle w:val="ListParagraph"/>
        <w:numPr>
          <w:ilvl w:val="0"/>
          <w:numId w:val="3"/>
        </w:numPr>
      </w:pPr>
      <w:r>
        <w:t>Develop a mentorship program</w:t>
      </w:r>
    </w:p>
    <w:p w:rsidR="006C7679" w:rsidRDefault="006C7679" w:rsidP="00E97835">
      <w:pPr>
        <w:pStyle w:val="ListParagraph"/>
        <w:numPr>
          <w:ilvl w:val="0"/>
          <w:numId w:val="3"/>
        </w:numPr>
      </w:pPr>
      <w:r>
        <w:t>Have CCA involvement in every county court</w:t>
      </w:r>
    </w:p>
    <w:p w:rsidR="00A72385" w:rsidRPr="0027020F" w:rsidRDefault="00A72385" w:rsidP="00A72385">
      <w:pPr>
        <w:pStyle w:val="ListParagraph"/>
        <w:ind w:left="360"/>
        <w:rPr>
          <w:sz w:val="16"/>
        </w:rPr>
      </w:pPr>
    </w:p>
    <w:p w:rsidR="006C7679" w:rsidRPr="00E97835" w:rsidRDefault="006C7679" w:rsidP="006C7679">
      <w:pPr>
        <w:rPr>
          <w:b/>
        </w:rPr>
      </w:pPr>
      <w:r w:rsidRPr="00E97835">
        <w:rPr>
          <w:b/>
        </w:rPr>
        <w:t>Education and Professional Development</w:t>
      </w:r>
    </w:p>
    <w:p w:rsidR="006C7679" w:rsidRDefault="006C7679" w:rsidP="00E97835">
      <w:pPr>
        <w:pStyle w:val="ListParagraph"/>
        <w:numPr>
          <w:ilvl w:val="0"/>
          <w:numId w:val="4"/>
        </w:numPr>
      </w:pPr>
      <w:r>
        <w:t>Overhaul certification program</w:t>
      </w:r>
    </w:p>
    <w:p w:rsidR="006C7679" w:rsidRDefault="006C7679" w:rsidP="00E97835">
      <w:pPr>
        <w:pStyle w:val="ListParagraph"/>
        <w:numPr>
          <w:ilvl w:val="0"/>
          <w:numId w:val="4"/>
        </w:numPr>
      </w:pPr>
      <w:r>
        <w:t>Increase statewide training</w:t>
      </w:r>
    </w:p>
    <w:p w:rsidR="006C7679" w:rsidRDefault="006C7679" w:rsidP="00E97835">
      <w:pPr>
        <w:pStyle w:val="ListParagraph"/>
        <w:numPr>
          <w:ilvl w:val="0"/>
          <w:numId w:val="4"/>
        </w:numPr>
      </w:pPr>
      <w:r>
        <w:t>Expand education by offering relevant training</w:t>
      </w:r>
    </w:p>
    <w:p w:rsidR="006C7679" w:rsidRDefault="006C7679" w:rsidP="00E97835">
      <w:pPr>
        <w:pStyle w:val="ListParagraph"/>
        <w:numPr>
          <w:ilvl w:val="0"/>
          <w:numId w:val="4"/>
        </w:numPr>
      </w:pPr>
      <w:r>
        <w:t>Develop online training</w:t>
      </w:r>
    </w:p>
    <w:p w:rsidR="006C7679" w:rsidRDefault="006C7679" w:rsidP="00E97835">
      <w:pPr>
        <w:pStyle w:val="ListParagraph"/>
        <w:numPr>
          <w:ilvl w:val="0"/>
          <w:numId w:val="4"/>
        </w:numPr>
      </w:pPr>
      <w:r>
        <w:t>Expand publication offerings</w:t>
      </w:r>
    </w:p>
    <w:p w:rsidR="00A72385" w:rsidRPr="0027020F" w:rsidRDefault="00A72385" w:rsidP="00A72385">
      <w:pPr>
        <w:pStyle w:val="ListParagraph"/>
        <w:ind w:left="360"/>
        <w:rPr>
          <w:sz w:val="16"/>
        </w:rPr>
      </w:pPr>
    </w:p>
    <w:p w:rsidR="006C7679" w:rsidRPr="00E97835" w:rsidRDefault="006C7679" w:rsidP="006C7679">
      <w:pPr>
        <w:rPr>
          <w:b/>
        </w:rPr>
      </w:pPr>
      <w:r w:rsidRPr="00E97835">
        <w:rPr>
          <w:b/>
        </w:rPr>
        <w:t>Communic</w:t>
      </w:r>
      <w:r w:rsidR="00E97835">
        <w:rPr>
          <w:b/>
        </w:rPr>
        <w:t>ations</w:t>
      </w:r>
    </w:p>
    <w:p w:rsidR="006C7679" w:rsidRDefault="006C7679" w:rsidP="00E97835">
      <w:pPr>
        <w:pStyle w:val="ListParagraph"/>
        <w:numPr>
          <w:ilvl w:val="0"/>
          <w:numId w:val="5"/>
        </w:numPr>
      </w:pPr>
      <w:r>
        <w:t>Create a Communications Committee</w:t>
      </w:r>
    </w:p>
    <w:p w:rsidR="006C7679" w:rsidRDefault="006C7679" w:rsidP="00E97835">
      <w:pPr>
        <w:pStyle w:val="ListParagraph"/>
        <w:numPr>
          <w:ilvl w:val="0"/>
          <w:numId w:val="5"/>
        </w:numPr>
      </w:pPr>
      <w:r>
        <w:t>Create new brand</w:t>
      </w:r>
    </w:p>
    <w:p w:rsidR="006C7679" w:rsidRDefault="006C7679" w:rsidP="00E97835">
      <w:pPr>
        <w:pStyle w:val="ListParagraph"/>
        <w:numPr>
          <w:ilvl w:val="0"/>
          <w:numId w:val="5"/>
        </w:numPr>
      </w:pPr>
      <w:r>
        <w:t>Develop regular communications with members and public</w:t>
      </w:r>
    </w:p>
    <w:p w:rsidR="006C7679" w:rsidRDefault="006C7679" w:rsidP="00E97835">
      <w:pPr>
        <w:pStyle w:val="ListParagraph"/>
        <w:numPr>
          <w:ilvl w:val="0"/>
          <w:numId w:val="5"/>
        </w:numPr>
      </w:pPr>
      <w:r>
        <w:t>Develop a marketing strategy/plan</w:t>
      </w:r>
    </w:p>
    <w:p w:rsidR="006C7679" w:rsidRDefault="006C7679" w:rsidP="00E97835">
      <w:pPr>
        <w:pStyle w:val="ListParagraph"/>
        <w:numPr>
          <w:ilvl w:val="0"/>
          <w:numId w:val="5"/>
        </w:numPr>
      </w:pPr>
      <w:r>
        <w:t>Develop new membership marketing material</w:t>
      </w:r>
    </w:p>
    <w:p w:rsidR="006C7679" w:rsidRDefault="006C7679" w:rsidP="00E97835">
      <w:pPr>
        <w:pStyle w:val="ListParagraph"/>
        <w:numPr>
          <w:ilvl w:val="0"/>
          <w:numId w:val="5"/>
        </w:numPr>
      </w:pPr>
      <w:r>
        <w:t>Develop new website</w:t>
      </w:r>
    </w:p>
    <w:p w:rsidR="00A72385" w:rsidRPr="0027020F" w:rsidRDefault="00A72385" w:rsidP="00A72385">
      <w:pPr>
        <w:pStyle w:val="ListParagraph"/>
        <w:ind w:left="360"/>
        <w:rPr>
          <w:sz w:val="16"/>
        </w:rPr>
      </w:pPr>
    </w:p>
    <w:p w:rsidR="006C7679" w:rsidRPr="00E97835" w:rsidRDefault="00E97835" w:rsidP="006C7679">
      <w:pPr>
        <w:rPr>
          <w:b/>
        </w:rPr>
      </w:pPr>
      <w:r>
        <w:rPr>
          <w:b/>
        </w:rPr>
        <w:t>Financial Strategy</w:t>
      </w:r>
    </w:p>
    <w:p w:rsidR="006C7679" w:rsidRDefault="006C7679" w:rsidP="00E97835">
      <w:pPr>
        <w:pStyle w:val="ListParagraph"/>
        <w:numPr>
          <w:ilvl w:val="0"/>
          <w:numId w:val="6"/>
        </w:numPr>
      </w:pPr>
      <w:r>
        <w:t>Financial analysis and consolidated reporting</w:t>
      </w:r>
    </w:p>
    <w:p w:rsidR="006C7679" w:rsidRDefault="006C7679" w:rsidP="00E97835">
      <w:pPr>
        <w:pStyle w:val="ListParagraph"/>
        <w:numPr>
          <w:ilvl w:val="0"/>
          <w:numId w:val="6"/>
        </w:numPr>
      </w:pPr>
      <w:r>
        <w:t>Establish budgeting protocol</w:t>
      </w:r>
    </w:p>
    <w:p w:rsidR="006C7679" w:rsidRDefault="006C7679" w:rsidP="00E97835">
      <w:pPr>
        <w:pStyle w:val="ListParagraph"/>
        <w:numPr>
          <w:ilvl w:val="0"/>
          <w:numId w:val="6"/>
        </w:numPr>
      </w:pPr>
      <w:r>
        <w:t>Increase reserves to 1 1/2 year operating expense</w:t>
      </w:r>
    </w:p>
    <w:p w:rsidR="006C7679" w:rsidRDefault="006C7679" w:rsidP="00E97835">
      <w:pPr>
        <w:pStyle w:val="ListParagraph"/>
        <w:numPr>
          <w:ilvl w:val="0"/>
          <w:numId w:val="6"/>
        </w:numPr>
      </w:pPr>
      <w:r>
        <w:t>Evaluate current and future revenue streams</w:t>
      </w:r>
    </w:p>
    <w:p w:rsidR="00E97835" w:rsidRDefault="00E97835" w:rsidP="00E97835">
      <w:pPr>
        <w:shd w:val="clear" w:color="auto" w:fill="44546A"/>
        <w:rPr>
          <w:sz w:val="10"/>
        </w:rPr>
      </w:pPr>
    </w:p>
    <w:p w:rsidR="001C7BD3" w:rsidRDefault="001C7BD3" w:rsidP="001C7BD3">
      <w:pPr>
        <w:jc w:val="center"/>
        <w:rPr>
          <w:b/>
          <w:sz w:val="28"/>
        </w:rPr>
      </w:pPr>
      <w:r>
        <w:rPr>
          <w:b/>
          <w:noProof/>
          <w:sz w:val="28"/>
        </w:rPr>
        <w:lastRenderedPageBreak/>
        <w:drawing>
          <wp:inline distT="0" distB="0" distL="0" distR="0">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1C7BD3" w:rsidRPr="00BE07DF" w:rsidRDefault="001C7BD3" w:rsidP="001C7BD3">
      <w:pPr>
        <w:jc w:val="center"/>
        <w:rPr>
          <w:b/>
          <w:sz w:val="14"/>
        </w:rPr>
      </w:pPr>
    </w:p>
    <w:p w:rsidR="00973190" w:rsidRPr="001C7BD3" w:rsidRDefault="00973190" w:rsidP="00973190">
      <w:pPr>
        <w:jc w:val="center"/>
        <w:rPr>
          <w:rFonts w:ascii="Georgia" w:hAnsi="Georgia"/>
          <w:b/>
          <w:sz w:val="28"/>
        </w:rPr>
      </w:pPr>
      <w:r w:rsidRPr="001C7BD3">
        <w:rPr>
          <w:rFonts w:ascii="Georgia" w:hAnsi="Georgia"/>
          <w:b/>
          <w:sz w:val="28"/>
        </w:rPr>
        <w:t>Organizational Assessment</w:t>
      </w:r>
    </w:p>
    <w:p w:rsidR="00973190" w:rsidRDefault="00973190" w:rsidP="00973190"/>
    <w:p w:rsidR="00973190" w:rsidRPr="00A72385" w:rsidRDefault="00973190" w:rsidP="001C7BD3">
      <w:pPr>
        <w:shd w:val="clear" w:color="auto" w:fill="44546A" w:themeFill="text2"/>
        <w:rPr>
          <w:b/>
          <w:color w:val="FFFFFF" w:themeColor="background1"/>
          <w:sz w:val="24"/>
        </w:rPr>
      </w:pPr>
      <w:r w:rsidRPr="00A72385">
        <w:rPr>
          <w:b/>
          <w:color w:val="FFFFFF" w:themeColor="background1"/>
          <w:sz w:val="24"/>
        </w:rPr>
        <w:t>Association Challenges</w:t>
      </w:r>
    </w:p>
    <w:p w:rsidR="001C7BD3" w:rsidRDefault="001C7BD3" w:rsidP="00973190"/>
    <w:p w:rsidR="00973190" w:rsidRPr="00973190" w:rsidRDefault="00973190" w:rsidP="00973190">
      <w:r w:rsidRPr="00973190">
        <w:t>We face a number of challenges as an organization of court employees in the state of California:</w:t>
      </w:r>
    </w:p>
    <w:p w:rsidR="001C7BD3" w:rsidRDefault="001C7BD3" w:rsidP="00973190"/>
    <w:p w:rsidR="00973190" w:rsidRDefault="001C7BD3" w:rsidP="00973190">
      <w:r>
        <w:t xml:space="preserve">1. </w:t>
      </w:r>
      <w:r w:rsidR="004D5392" w:rsidRPr="00973190">
        <w:t>Court</w:t>
      </w:r>
      <w:r w:rsidR="004D5392">
        <w:t>s</w:t>
      </w:r>
      <w:r w:rsidR="004D5392" w:rsidRPr="00973190">
        <w:t xml:space="preserve"> are</w:t>
      </w:r>
      <w:r w:rsidR="00F230A6">
        <w:t xml:space="preserve"> inco</w:t>
      </w:r>
      <w:r w:rsidR="00973190" w:rsidRPr="00973190">
        <w:t xml:space="preserve">nsistent in their support </w:t>
      </w:r>
      <w:r w:rsidR="0060465C">
        <w:t>of</w:t>
      </w:r>
      <w:r w:rsidR="00973190" w:rsidRPr="00973190">
        <w:t xml:space="preserve"> </w:t>
      </w:r>
      <w:r w:rsidR="00F230A6">
        <w:t>CCA</w:t>
      </w:r>
      <w:r w:rsidR="00235677">
        <w:t xml:space="preserve"> membership dues</w:t>
      </w:r>
      <w:r w:rsidR="00F230A6">
        <w:t>.</w:t>
      </w:r>
    </w:p>
    <w:p w:rsidR="001C7BD3" w:rsidRPr="00973190" w:rsidRDefault="001C7BD3" w:rsidP="00973190"/>
    <w:p w:rsidR="00973190" w:rsidRPr="00973190" w:rsidRDefault="001C7BD3" w:rsidP="00973190">
      <w:r>
        <w:t xml:space="preserve">2. </w:t>
      </w:r>
      <w:r w:rsidR="00973190" w:rsidRPr="00973190">
        <w:t>Decreased court budgets restrict or limit support of professional education of court employees</w:t>
      </w:r>
      <w:r w:rsidR="00F230A6">
        <w:t>.</w:t>
      </w:r>
    </w:p>
    <w:p w:rsidR="001C7BD3" w:rsidRDefault="001C7BD3" w:rsidP="00973190"/>
    <w:p w:rsidR="00973190" w:rsidRPr="00973190" w:rsidRDefault="001C7BD3" w:rsidP="00973190">
      <w:r>
        <w:t xml:space="preserve">3. </w:t>
      </w:r>
      <w:r w:rsidR="00973190" w:rsidRPr="00973190">
        <w:t>Lack of perceived value of membership in CCA</w:t>
      </w:r>
      <w:r w:rsidR="00F230A6">
        <w:t>.</w:t>
      </w:r>
    </w:p>
    <w:p w:rsidR="001C7BD3" w:rsidRDefault="001C7BD3" w:rsidP="00973190"/>
    <w:p w:rsidR="00973190" w:rsidRDefault="001C7BD3" w:rsidP="00E449FE">
      <w:pPr>
        <w:ind w:left="180" w:hanging="180"/>
      </w:pPr>
      <w:r>
        <w:t xml:space="preserve">4. </w:t>
      </w:r>
      <w:r w:rsidR="0027020F">
        <w:t>Encourage</w:t>
      </w:r>
      <w:r w:rsidR="00982413">
        <w:t xml:space="preserve"> membership </w:t>
      </w:r>
      <w:r w:rsidR="0027020F">
        <w:t>from</w:t>
      </w:r>
      <w:r w:rsidR="00982413">
        <w:t xml:space="preserve"> all levels and types of court employees (executive, management, professional, clerical). </w:t>
      </w:r>
    </w:p>
    <w:p w:rsidR="001C7BD3" w:rsidRDefault="001C7BD3" w:rsidP="00973190"/>
    <w:p w:rsidR="00973190" w:rsidRPr="00973190" w:rsidRDefault="001C7BD3" w:rsidP="00E449FE">
      <w:pPr>
        <w:ind w:left="180" w:hanging="180"/>
      </w:pPr>
      <w:r>
        <w:t xml:space="preserve">5. </w:t>
      </w:r>
      <w:r w:rsidR="009C3931">
        <w:t>Due to</w:t>
      </w:r>
      <w:r w:rsidR="00746922">
        <w:t xml:space="preserve"> work</w:t>
      </w:r>
      <w:r w:rsidR="009C3931">
        <w:t xml:space="preserve"> constraints</w:t>
      </w:r>
      <w:r w:rsidR="0027020F">
        <w:t>,</w:t>
      </w:r>
      <w:r w:rsidR="009C3931">
        <w:t xml:space="preserve"> members’ willingness to join, participate and/or volunteer for leadership positions is compromised</w:t>
      </w:r>
      <w:r w:rsidR="00BF6C47">
        <w:t>.</w:t>
      </w:r>
      <w:r w:rsidR="009C3931">
        <w:t xml:space="preserve"> </w:t>
      </w:r>
    </w:p>
    <w:p w:rsidR="001C7BD3" w:rsidRDefault="001C7BD3" w:rsidP="00973190"/>
    <w:p w:rsidR="00973190" w:rsidRPr="00973190" w:rsidRDefault="001C7BD3" w:rsidP="00973190">
      <w:r>
        <w:t xml:space="preserve">6. </w:t>
      </w:r>
      <w:r w:rsidR="00973190" w:rsidRPr="00973190">
        <w:t>Lack of resources necessary to grow the organization</w:t>
      </w:r>
      <w:r w:rsidR="00F230A6">
        <w:t>.</w:t>
      </w:r>
    </w:p>
    <w:p w:rsidR="001C7BD3" w:rsidRDefault="001C7BD3" w:rsidP="00973190"/>
    <w:p w:rsidR="001C7BD3" w:rsidRDefault="001C7BD3" w:rsidP="00973190"/>
    <w:p w:rsidR="00973190" w:rsidRPr="00A72385" w:rsidRDefault="00973190" w:rsidP="001C7BD3">
      <w:pPr>
        <w:shd w:val="clear" w:color="auto" w:fill="44546A" w:themeFill="text2"/>
        <w:rPr>
          <w:b/>
          <w:color w:val="FFFFFF" w:themeColor="background1"/>
          <w:sz w:val="24"/>
        </w:rPr>
      </w:pPr>
      <w:r w:rsidRPr="00A72385">
        <w:rPr>
          <w:b/>
          <w:color w:val="FFFFFF" w:themeColor="background1"/>
          <w:sz w:val="24"/>
        </w:rPr>
        <w:t>Association Opportunities</w:t>
      </w:r>
    </w:p>
    <w:p w:rsidR="001C7BD3" w:rsidRPr="00973190" w:rsidRDefault="001C7BD3" w:rsidP="00973190"/>
    <w:p w:rsidR="00973190" w:rsidRPr="00973190" w:rsidRDefault="00973190" w:rsidP="00973190">
      <w:r w:rsidRPr="00973190">
        <w:t>Likewise, there are a number of opportunities to counter-balance the challenges posed to CCA:</w:t>
      </w:r>
    </w:p>
    <w:p w:rsidR="001C7BD3" w:rsidRDefault="001C7BD3" w:rsidP="00973190"/>
    <w:p w:rsidR="00973190" w:rsidRPr="00973190" w:rsidRDefault="001C7BD3" w:rsidP="00E449FE">
      <w:pPr>
        <w:ind w:left="180" w:hanging="180"/>
      </w:pPr>
      <w:r>
        <w:t xml:space="preserve">1. </w:t>
      </w:r>
      <w:r w:rsidR="00973190" w:rsidRPr="00973190">
        <w:t xml:space="preserve">Due to </w:t>
      </w:r>
      <w:r w:rsidR="005F39D1">
        <w:t>funding restoration and</w:t>
      </w:r>
      <w:r w:rsidR="00973190" w:rsidRPr="00973190">
        <w:t xml:space="preserve"> retirements, many courts are hiring new employees who have a greater need for education and training</w:t>
      </w:r>
      <w:r w:rsidR="005F39D1">
        <w:t>.</w:t>
      </w:r>
    </w:p>
    <w:p w:rsidR="001C7BD3" w:rsidRDefault="001C7BD3" w:rsidP="00973190"/>
    <w:p w:rsidR="00973190" w:rsidRPr="00973190" w:rsidRDefault="001C7BD3" w:rsidP="00E449FE">
      <w:pPr>
        <w:ind w:left="180" w:hanging="180"/>
      </w:pPr>
      <w:r>
        <w:t xml:space="preserve">2. </w:t>
      </w:r>
      <w:r w:rsidR="00973190" w:rsidRPr="00973190">
        <w:t>Court budgets are improving, freeing</w:t>
      </w:r>
      <w:r w:rsidR="005F39D1">
        <w:t>-</w:t>
      </w:r>
      <w:r w:rsidR="00973190" w:rsidRPr="00973190">
        <w:t>up more funds for courts to support memb</w:t>
      </w:r>
      <w:r w:rsidR="005F39D1">
        <w:t>ership and participation in CCA.</w:t>
      </w:r>
    </w:p>
    <w:p w:rsidR="001C7BD3" w:rsidRDefault="001C7BD3" w:rsidP="00973190"/>
    <w:p w:rsidR="00973190" w:rsidRPr="00973190" w:rsidRDefault="001C7BD3" w:rsidP="00E449FE">
      <w:pPr>
        <w:ind w:left="180" w:hanging="180"/>
      </w:pPr>
      <w:r>
        <w:t>3.</w:t>
      </w:r>
      <w:r w:rsidR="00E449FE">
        <w:t xml:space="preserve"> </w:t>
      </w:r>
      <w:r w:rsidR="00BF6C47">
        <w:t xml:space="preserve">Court executives should be </w:t>
      </w:r>
      <w:r w:rsidR="00235677">
        <w:t xml:space="preserve">informed </w:t>
      </w:r>
      <w:r w:rsidR="00BF6C47">
        <w:t>on the value of a professional association and encourage their support of employee involvement in CCA.</w:t>
      </w:r>
    </w:p>
    <w:p w:rsidR="001C7BD3" w:rsidRDefault="001C7BD3" w:rsidP="00973190"/>
    <w:p w:rsidR="00973190" w:rsidRPr="00973190" w:rsidRDefault="001C7BD3" w:rsidP="00E449FE">
      <w:pPr>
        <w:ind w:left="180" w:hanging="180"/>
      </w:pPr>
      <w:r>
        <w:t xml:space="preserve">4. </w:t>
      </w:r>
      <w:r w:rsidR="00BF6C47">
        <w:t>Expand training curriculums to address need for training in areas not currently served by the state, individual courts, or other entities.</w:t>
      </w:r>
    </w:p>
    <w:p w:rsidR="001C7BD3" w:rsidRDefault="001C7BD3" w:rsidP="00973190"/>
    <w:p w:rsidR="00973190" w:rsidRPr="00973190" w:rsidRDefault="001C7BD3" w:rsidP="00E449FE">
      <w:pPr>
        <w:ind w:left="180" w:hanging="180"/>
      </w:pPr>
      <w:r>
        <w:t xml:space="preserve">5. </w:t>
      </w:r>
      <w:r w:rsidR="00973190" w:rsidRPr="00973190">
        <w:t>Participating in CCA's training programs provides professional education, opportunities for networking</w:t>
      </w:r>
      <w:r w:rsidR="005F39D1">
        <w:t>,</w:t>
      </w:r>
      <w:r w:rsidR="00973190" w:rsidRPr="00973190">
        <w:t xml:space="preserve"> and social </w:t>
      </w:r>
      <w:r w:rsidR="005F39D1">
        <w:t>opportunities that do</w:t>
      </w:r>
      <w:r w:rsidR="00973190" w:rsidRPr="00973190">
        <w:t xml:space="preserve"> not exist in the member's everyday court en</w:t>
      </w:r>
      <w:r w:rsidR="005F39D1">
        <w:t>vironment.</w:t>
      </w:r>
    </w:p>
    <w:p w:rsidR="00124A3B" w:rsidRDefault="00124A3B" w:rsidP="00124A3B"/>
    <w:p w:rsidR="00AD2E5A" w:rsidRPr="00AD2E5A" w:rsidRDefault="00AD2E5A" w:rsidP="00AD2E5A">
      <w:pPr>
        <w:shd w:val="clear" w:color="auto" w:fill="44546A" w:themeFill="text2"/>
        <w:rPr>
          <w:sz w:val="10"/>
        </w:rPr>
      </w:pPr>
    </w:p>
    <w:sectPr w:rsidR="00AD2E5A" w:rsidRPr="00AD2E5A" w:rsidSect="0027020F">
      <w:pgSz w:w="12240" w:h="15840"/>
      <w:pgMar w:top="72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6C5"/>
    <w:multiLevelType w:val="hybridMultilevel"/>
    <w:tmpl w:val="E26264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6001B"/>
    <w:multiLevelType w:val="hybridMultilevel"/>
    <w:tmpl w:val="4FE224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26B4D"/>
    <w:multiLevelType w:val="hybridMultilevel"/>
    <w:tmpl w:val="7D386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184AC3"/>
    <w:multiLevelType w:val="hybridMultilevel"/>
    <w:tmpl w:val="BD04F5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7E1FA4"/>
    <w:multiLevelType w:val="hybridMultilevel"/>
    <w:tmpl w:val="FF58868A"/>
    <w:lvl w:ilvl="0" w:tplc="92D45CF4">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328DB"/>
    <w:multiLevelType w:val="hybridMultilevel"/>
    <w:tmpl w:val="4A7AAD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DF4600"/>
    <w:multiLevelType w:val="hybridMultilevel"/>
    <w:tmpl w:val="58A883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8B5721"/>
    <w:multiLevelType w:val="hybridMultilevel"/>
    <w:tmpl w:val="B8D0B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B83683"/>
    <w:multiLevelType w:val="hybridMultilevel"/>
    <w:tmpl w:val="6AEE82D8"/>
    <w:lvl w:ilvl="0" w:tplc="0409000F">
      <w:start w:val="1"/>
      <w:numFmt w:val="decimal"/>
      <w:lvlText w:val="%1."/>
      <w:lvlJc w:val="left"/>
      <w:pPr>
        <w:tabs>
          <w:tab w:val="num" w:pos="720"/>
        </w:tabs>
        <w:ind w:left="720" w:hanging="360"/>
      </w:pPr>
      <w:rPr>
        <w:rFonts w:cs="Times New Roman"/>
      </w:rPr>
    </w:lvl>
    <w:lvl w:ilvl="1" w:tplc="92D45CF4">
      <w:start w:val="1"/>
      <w:numFmt w:val="bullet"/>
      <w:lvlText w:val=""/>
      <w:lvlJc w:val="left"/>
      <w:pPr>
        <w:tabs>
          <w:tab w:val="num" w:pos="1440"/>
        </w:tabs>
        <w:ind w:left="1440" w:hanging="360"/>
      </w:pPr>
      <w:rPr>
        <w:rFonts w:ascii="Wingdings" w:hAnsi="Wingdings" w:hint="default"/>
        <w:b w:val="0"/>
        <w:i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7"/>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7679"/>
    <w:rsid w:val="00114E4A"/>
    <w:rsid w:val="00124A3B"/>
    <w:rsid w:val="00131AB1"/>
    <w:rsid w:val="001C7BD3"/>
    <w:rsid w:val="00235677"/>
    <w:rsid w:val="0027020F"/>
    <w:rsid w:val="00344452"/>
    <w:rsid w:val="00355A25"/>
    <w:rsid w:val="00363CF1"/>
    <w:rsid w:val="00385870"/>
    <w:rsid w:val="004418EA"/>
    <w:rsid w:val="004A60A3"/>
    <w:rsid w:val="004D5392"/>
    <w:rsid w:val="004E2130"/>
    <w:rsid w:val="00503CA9"/>
    <w:rsid w:val="0055359C"/>
    <w:rsid w:val="005B1ED8"/>
    <w:rsid w:val="005B4F6A"/>
    <w:rsid w:val="005C6092"/>
    <w:rsid w:val="005F39D1"/>
    <w:rsid w:val="0060465C"/>
    <w:rsid w:val="00621138"/>
    <w:rsid w:val="006449BA"/>
    <w:rsid w:val="006B2C3C"/>
    <w:rsid w:val="006C7679"/>
    <w:rsid w:val="00746922"/>
    <w:rsid w:val="007824B8"/>
    <w:rsid w:val="00796FF9"/>
    <w:rsid w:val="007A57A8"/>
    <w:rsid w:val="007A70FD"/>
    <w:rsid w:val="007A75CE"/>
    <w:rsid w:val="007C36B8"/>
    <w:rsid w:val="0082065D"/>
    <w:rsid w:val="008A30B3"/>
    <w:rsid w:val="008C6854"/>
    <w:rsid w:val="008E021F"/>
    <w:rsid w:val="00971F98"/>
    <w:rsid w:val="00973190"/>
    <w:rsid w:val="00981836"/>
    <w:rsid w:val="00982413"/>
    <w:rsid w:val="009A3679"/>
    <w:rsid w:val="009C3931"/>
    <w:rsid w:val="00A16B65"/>
    <w:rsid w:val="00A72385"/>
    <w:rsid w:val="00A868D9"/>
    <w:rsid w:val="00AD2E5A"/>
    <w:rsid w:val="00B75BEA"/>
    <w:rsid w:val="00BE07DF"/>
    <w:rsid w:val="00BF6C47"/>
    <w:rsid w:val="00C44D75"/>
    <w:rsid w:val="00D96D3E"/>
    <w:rsid w:val="00DB6C54"/>
    <w:rsid w:val="00DD2BD7"/>
    <w:rsid w:val="00E4094A"/>
    <w:rsid w:val="00E449FE"/>
    <w:rsid w:val="00E85E91"/>
    <w:rsid w:val="00E97835"/>
    <w:rsid w:val="00EA337B"/>
    <w:rsid w:val="00F230A6"/>
    <w:rsid w:val="00FB4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1F"/>
  </w:style>
  <w:style w:type="paragraph" w:styleId="Heading2">
    <w:name w:val="heading 2"/>
    <w:basedOn w:val="Normal"/>
    <w:next w:val="Normal"/>
    <w:link w:val="Heading2Char"/>
    <w:uiPriority w:val="99"/>
    <w:qFormat/>
    <w:rsid w:val="00973190"/>
    <w:pPr>
      <w:keepNext/>
      <w:spacing w:after="240"/>
      <w:outlineLvl w:val="1"/>
    </w:pPr>
    <w:rPr>
      <w:rFonts w:ascii="Arial" w:eastAsia="Times New Roman" w:hAnsi="Arial" w:cs="Arial"/>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DF"/>
    <w:pPr>
      <w:ind w:left="720"/>
      <w:contextualSpacing/>
    </w:pPr>
  </w:style>
  <w:style w:type="character" w:customStyle="1" w:styleId="Heading2Char">
    <w:name w:val="Heading 2 Char"/>
    <w:basedOn w:val="DefaultParagraphFont"/>
    <w:link w:val="Heading2"/>
    <w:uiPriority w:val="99"/>
    <w:rsid w:val="00973190"/>
    <w:rPr>
      <w:rFonts w:ascii="Arial" w:eastAsia="Times New Roman" w:hAnsi="Arial" w:cs="Arial"/>
      <w:b/>
      <w:bCs/>
      <w:iCs/>
      <w:color w:val="000000"/>
      <w:sz w:val="28"/>
      <w:szCs w:val="28"/>
    </w:rPr>
  </w:style>
  <w:style w:type="paragraph" w:styleId="BalloonText">
    <w:name w:val="Balloon Text"/>
    <w:basedOn w:val="Normal"/>
    <w:link w:val="BalloonTextChar"/>
    <w:uiPriority w:val="99"/>
    <w:semiHidden/>
    <w:unhideWhenUsed/>
    <w:rsid w:val="00E4094A"/>
    <w:rPr>
      <w:rFonts w:ascii="Tahoma" w:hAnsi="Tahoma" w:cs="Tahoma"/>
      <w:sz w:val="16"/>
      <w:szCs w:val="16"/>
    </w:rPr>
  </w:style>
  <w:style w:type="character" w:customStyle="1" w:styleId="BalloonTextChar">
    <w:name w:val="Balloon Text Char"/>
    <w:basedOn w:val="DefaultParagraphFont"/>
    <w:link w:val="BalloonText"/>
    <w:uiPriority w:val="99"/>
    <w:semiHidden/>
    <w:rsid w:val="00E40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0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Scott</dc:creator>
  <cp:lastModifiedBy>Ventura Superior Court</cp:lastModifiedBy>
  <cp:revision>3</cp:revision>
  <dcterms:created xsi:type="dcterms:W3CDTF">2016-08-02T18:32:00Z</dcterms:created>
  <dcterms:modified xsi:type="dcterms:W3CDTF">2016-08-02T18:47:00Z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-247385837</vt:i4>
  </property>
  <property fmtid="{D5CDD505-2E9C-101B-9397-08002B2CF9AE}" pid="3" name="_NewReviewCycle">
    <vt:lpwstr/>
  </property>
  <property fmtid="{D5CDD505-2E9C-101B-9397-08002B2CF9AE}" pid="4" name="_EmailSubject">
    <vt:lpwstr>Updated Power Point</vt:lpwstr>
  </property>
  <property fmtid="{D5CDD505-2E9C-101B-9397-08002B2CF9AE}" pid="5" name="_AuthorEmail">
    <vt:lpwstr>Scott.Brown@SDCourt.CA.Gov</vt:lpwstr>
  </property>
  <property fmtid="{D5CDD505-2E9C-101B-9397-08002B2CF9AE}" pid="6" name="_AuthorEmailDisplayName">
    <vt:lpwstr>Brown, Scott</vt:lpwstr>
  </property>
  <property fmtid="{D5CDD505-2E9C-101B-9397-08002B2CF9AE}" pid="7" name="_ReviewingToolsShownOnce">
    <vt:lpwstr/>
  </property>
</Properties>
</file>